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综合评分表</w:t>
      </w:r>
      <w:bookmarkEnd w:id="0"/>
    </w:p>
    <w:tbl>
      <w:tblPr>
        <w:tblStyle w:val="4"/>
        <w:tblW w:w="871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11"/>
        <w:gridCol w:w="6034"/>
        <w:gridCol w:w="4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评审因素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得分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（分）</w:t>
            </w:r>
          </w:p>
        </w:tc>
        <w:tc>
          <w:tcPr>
            <w:tcW w:w="60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评分标准</w:t>
            </w:r>
          </w:p>
        </w:tc>
        <w:tc>
          <w:tcPr>
            <w:tcW w:w="496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exac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投标报价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（30分）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要求且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总价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最低的投标报价为评标基准价，其价格分为满分。其他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的价格分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按下列公式计算：投标报价得分=（评标基准价/投标报价）30%×100，计算分数时四舍五入取小数点后两位。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的投标报价有下列情形的，不进入评标基准价计算：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（1）若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的报价超过最高限价，则为无效报价，按无效投标处理；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（2）投标总报价如果低于本项目采购预算控制金额8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同时低于平均报价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%的，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必须逐项对投标项目的单项价格及构成做出详细文字解释说明，并且对项目单项报价提出报价证据文件，否则投标报价无效。</w:t>
            </w:r>
          </w:p>
        </w:tc>
        <w:tc>
          <w:tcPr>
            <w:tcW w:w="496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维修方案（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0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遴选申请人响应文件中的维修方案完整性、可行性及规范性等进行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评比，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优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秀得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18-20分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、良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好的得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16-18分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一般的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12-16分、较差的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2-12分，未提供的不得分。</w:t>
            </w:r>
          </w:p>
        </w:tc>
        <w:tc>
          <w:tcPr>
            <w:tcW w:w="496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业绩（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0分）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0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有效的类似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塑胶场地施工合同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，每提供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一份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2分，最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多得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0分。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评审依据:提供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合同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加盖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鲜章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96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exac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材料合格证明（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0分）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0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、提供具有“CMA”标识检测机构出具的透气型跑道通过GB36246-2018《中小学合成材料面层运动场地》型式检验(成品检验、原料检验非固体)报告的得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分，提供不全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得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未提供或提供不合格的不得分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、为保护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师生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健康和环境安全，参照(ECHA)颁发的ReaCH（EC）1907/2006 SVHC物质清单，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提供塑胶跑道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高度关注物质检测报告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，完整提供的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得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分，提供不全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得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未提供或提供不合格的不得分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、塑胶跑道所用单组份胶水提供参照EN 71-3：2013+A2：2017，采用ICP-OES进行分析，要求检测结果为ND（不含有）检测报告的得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分，提供不全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得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未提供或提供不合格的不得分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评审依据:提供检测报告复印件(加盖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鲜章)</w:t>
            </w: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96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工期保证措施（10分）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0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比较各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  <w:lang w:eastAsia="zh-CN"/>
              </w:rPr>
              <w:t>响应文件中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工期保证措施的合理性、可行性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秀的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得10分，良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好的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得8分，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得6分，没有不得分。</w:t>
            </w:r>
          </w:p>
        </w:tc>
        <w:tc>
          <w:tcPr>
            <w:tcW w:w="496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质保期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承诺（10分）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0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中承诺质保期年限评分，承诺质保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年的得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2分，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承诺质保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年的得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4分，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承诺质保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年的得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6分，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承诺质保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年的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得8分，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承诺质保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年的得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10分，最高得10分。</w:t>
            </w:r>
          </w:p>
        </w:tc>
        <w:tc>
          <w:tcPr>
            <w:tcW w:w="496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380" w:lineRule="exact"/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F75B8"/>
    <w:rsid w:val="19260BA4"/>
    <w:rsid w:val="685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2022-03-14T08:58:00Z</dcterms:created>
  <dc:creator>微风</dc:creator>
  <cp:lastModifiedBy>微风</cp:lastModifiedBy>
  <dcterms:modified xsi:type="dcterms:W3CDTF">2022-03-14T09:03:11Z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