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附件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：</w:t>
      </w:r>
      <w:bookmarkStart w:id="0" w:name="_GoBack"/>
      <w:r>
        <w:rPr>
          <w:rFonts w:hint="eastAsia" w:ascii="仿宋" w:hAnsi="仿宋" w:eastAsia="仿宋"/>
          <w:sz w:val="28"/>
          <w:szCs w:val="28"/>
          <w:lang w:eastAsia="zh-CN"/>
        </w:rPr>
        <w:t>综合评分表</w:t>
      </w:r>
      <w:bookmarkEnd w:id="0"/>
    </w:p>
    <w:tbl>
      <w:tblPr>
        <w:tblStyle w:val="4"/>
        <w:tblW w:w="871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811"/>
        <w:gridCol w:w="5741"/>
        <w:gridCol w:w="7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z w:val="24"/>
                <w:szCs w:val="24"/>
              </w:rPr>
              <w:t>评审因素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得分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（分）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新宋体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z w:val="24"/>
                <w:szCs w:val="24"/>
              </w:rPr>
              <w:t>评分标准</w:t>
            </w:r>
          </w:p>
        </w:tc>
        <w:tc>
          <w:tcPr>
            <w:tcW w:w="789" w:type="dxa"/>
            <w:tcBorders>
              <w:lef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宋体" w:hAnsi="宋体" w:eastAsia="新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新宋体"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4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eastAsia="新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投标报价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（30分）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eastAsia="宋体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ascii="宋体" w:hAnsi="宋体" w:eastAsia="新宋体" w:cs="宋体"/>
                <w:bCs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满足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公告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要求且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总价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最低的投标报价为评标基准价，其价格分为满分。其他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的价格分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均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按下列公式计算：投标报价得分=（评标基准价/投标报价）30%×100，计算分数时四舍五入取小数点后两位。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eastAsia="新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的投标报价有下列情形的，不进入评标基准价计算：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ascii="宋体" w:hAnsi="宋体" w:eastAsia="新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（1）若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的报价超过最高限价，则为无效报价，按无效投标处理；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新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（2）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</w:rPr>
              <w:t>投标总报价如果低于本项目采购预算控制金额8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</w:rPr>
              <w:t>%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  <w:lang w:eastAsia="zh-CN"/>
              </w:rPr>
              <w:t>同时低于平均报价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  <w:lang w:val="en-US" w:eastAsia="zh-CN"/>
              </w:rPr>
              <w:t>90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</w:rPr>
              <w:t>%的，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</w:rPr>
              <w:t>必须逐项对投标项目的单项价格及构成做出详细文字解释说明，并且对项目单项报价提出报价证据文件，否则投标报价无效。</w:t>
            </w:r>
          </w:p>
        </w:tc>
        <w:tc>
          <w:tcPr>
            <w:tcW w:w="789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新宋体"/>
                <w:spacing w:val="-17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pacing w:val="-17"/>
                <w:sz w:val="24"/>
                <w:szCs w:val="24"/>
              </w:rPr>
            </w:pPr>
            <w:r>
              <w:rPr>
                <w:spacing w:val="-17"/>
                <w:sz w:val="24"/>
                <w:szCs w:val="24"/>
              </w:rPr>
              <w:t>维修</w:t>
            </w:r>
            <w:r>
              <w:rPr>
                <w:rFonts w:hint="eastAsia"/>
                <w:spacing w:val="-17"/>
                <w:sz w:val="24"/>
                <w:szCs w:val="24"/>
              </w:rPr>
              <w:t>方案（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/>
                <w:spacing w:val="-17"/>
                <w:sz w:val="24"/>
                <w:szCs w:val="24"/>
              </w:rPr>
              <w:t>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eastAsia="宋体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eastAsia="宋体"/>
                <w:spacing w:val="-17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hAnsi="宋体" w:eastAsia="宋体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新宋体"/>
                <w:color w:val="000000" w:themeColor="text1"/>
                <w:spacing w:val="-17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对各</w:t>
            </w:r>
            <w:r>
              <w:rPr>
                <w:rFonts w:hint="eastAsia" w:hAnsi="宋体" w:eastAsia="新宋体"/>
                <w:color w:val="000000" w:themeColor="text1"/>
                <w:spacing w:val="-17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申请人响应文件中的维修方案完整性、可行性及规范性等进行</w:t>
            </w:r>
            <w:r>
              <w:rPr>
                <w:rFonts w:hint="eastAsia" w:hAnsi="宋体" w:eastAsia="新宋体"/>
                <w:color w:val="000000" w:themeColor="text1"/>
                <w:spacing w:val="-17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综合</w:t>
            </w:r>
            <w:r>
              <w:rPr>
                <w:rFonts w:hint="eastAsia" w:hAnsi="宋体" w:eastAsia="新宋体"/>
                <w:color w:val="000000" w:themeColor="text1"/>
                <w:spacing w:val="-17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评比，</w:t>
            </w:r>
            <w:r>
              <w:rPr>
                <w:rFonts w:hint="eastAsia"/>
                <w:spacing w:val="-17"/>
                <w:sz w:val="24"/>
                <w:szCs w:val="24"/>
              </w:rPr>
              <w:t>优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秀得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18-20分</w:t>
            </w:r>
            <w:r>
              <w:rPr>
                <w:rFonts w:hint="eastAsia"/>
                <w:spacing w:val="-17"/>
                <w:sz w:val="24"/>
                <w:szCs w:val="24"/>
              </w:rPr>
              <w:t>、良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好的得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16-18分</w:t>
            </w:r>
            <w:r>
              <w:rPr>
                <w:rFonts w:hint="eastAsia"/>
                <w:spacing w:val="-17"/>
                <w:sz w:val="24"/>
                <w:szCs w:val="24"/>
              </w:rPr>
              <w:t>、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一般的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12-16分、较差的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得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2-12分，未提供的不得分。</w:t>
            </w:r>
          </w:p>
        </w:tc>
        <w:tc>
          <w:tcPr>
            <w:tcW w:w="789" w:type="dxa"/>
            <w:tcBorders>
              <w:left w:val="single" w:color="auto" w:sz="4" w:space="0"/>
            </w:tcBorders>
          </w:tcPr>
          <w:p>
            <w:pPr>
              <w:rPr>
                <w:rFonts w:hint="eastAsia" w:hAnsi="宋体" w:eastAsia="新宋体"/>
                <w:spacing w:val="-1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eastAsia="新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业绩（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eastAsia="宋体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/>
                <w:spacing w:val="-17"/>
                <w:sz w:val="24"/>
                <w:szCs w:val="24"/>
              </w:rPr>
              <w:t>提交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有效的类似</w:t>
            </w:r>
            <w:r>
              <w:rPr>
                <w:rFonts w:hint="eastAsia"/>
                <w:spacing w:val="-17"/>
                <w:sz w:val="24"/>
                <w:szCs w:val="24"/>
              </w:rPr>
              <w:t>塑胶场地施工合同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，每提供</w:t>
            </w:r>
            <w:r>
              <w:rPr>
                <w:rFonts w:hint="eastAsia"/>
                <w:spacing w:val="-17"/>
                <w:sz w:val="24"/>
                <w:szCs w:val="24"/>
              </w:rPr>
              <w:t>一份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得</w:t>
            </w:r>
            <w:r>
              <w:rPr>
                <w:rFonts w:hint="eastAsia"/>
                <w:spacing w:val="-17"/>
                <w:sz w:val="24"/>
                <w:szCs w:val="24"/>
              </w:rPr>
              <w:t>2分，最</w:t>
            </w:r>
            <w:r>
              <w:rPr>
                <w:rFonts w:hint="eastAsia"/>
                <w:spacing w:val="-17"/>
                <w:sz w:val="24"/>
                <w:szCs w:val="24"/>
                <w:lang w:eastAsia="zh-CN"/>
              </w:rPr>
              <w:t>多得</w:t>
            </w: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/>
                <w:spacing w:val="-17"/>
                <w:sz w:val="24"/>
                <w:szCs w:val="24"/>
              </w:rPr>
              <w:t>0分。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评审依据:提供</w:t>
            </w:r>
            <w:r>
              <w:rPr>
                <w:rFonts w:hint="eastAsia"/>
                <w:spacing w:val="-17"/>
                <w:sz w:val="24"/>
                <w:szCs w:val="24"/>
              </w:rPr>
              <w:t>合同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复印件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并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加盖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鲜章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9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8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ascii="宋体" w:hAnsi="宋体" w:eastAsia="新宋体"/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材料合格</w:t>
            </w:r>
            <w:r>
              <w:rPr>
                <w:rFonts w:ascii="宋体" w:hAnsi="宋体" w:eastAsia="新宋体"/>
                <w:spacing w:val="-17"/>
                <w:sz w:val="24"/>
                <w:szCs w:val="24"/>
              </w:rPr>
              <w:t>证明（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0分</w:t>
            </w:r>
            <w:r>
              <w:rPr>
                <w:rFonts w:ascii="宋体" w:hAnsi="宋体" w:eastAsia="新宋体"/>
                <w:spacing w:val="-17"/>
                <w:sz w:val="24"/>
                <w:szCs w:val="24"/>
              </w:rPr>
              <w:t>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eastAsia="宋体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、提供具有“CMA”标识检测机构出具的透气型跑道通过GB36246-2018《中小学合成材料面层运动场地》型式检验(成品检验、原料检验非固体)报告的得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分，提供不全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未提供或提供不合格的不得分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、为保护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师生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健康和环境安全，参照(ECHA)颁发的ReaCH（EC）1907/2006 SVHC物质清单，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提供塑胶跑道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相关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高度关注物质检测报告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，完整提供的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分，提供不全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未提供或提供不合格的不得分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20" w:lineRule="exact"/>
              <w:textAlignment w:val="auto"/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、塑胶跑道所用单组份胶水提供参照EN 71-3：2013+A2：2017，采用ICP-OES进行分析，要求检测结果为ND（不含有）检测报告的得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分，提供不全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的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得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未提供或提供不合格的不得分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评审依据:提供检测报告复印件(加盖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  <w:t>鲜章)</w:t>
            </w:r>
            <w: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89" w:type="dxa"/>
            <w:tcBorders>
              <w:left w:val="single" w:color="auto" w:sz="4" w:space="0"/>
            </w:tcBorders>
          </w:tcPr>
          <w:p>
            <w:pPr>
              <w:rPr>
                <w:rFonts w:hint="eastAsia" w:ascii="宋体" w:hAnsi="宋体" w:eastAsia="新宋体" w:cs="宋体"/>
                <w:bCs/>
                <w:spacing w:val="-17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工期保证措施（10分）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eastAsia="宋体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pacing w:val="-17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eastAsia" w:hAnsi="宋体" w:eastAsia="新宋体"/>
                <w:spacing w:val="-17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比较各</w:t>
            </w:r>
            <w:r>
              <w:rPr>
                <w:rFonts w:hint="eastAsia" w:ascii="新宋体" w:eastAsia="新宋体"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hAnsi="宋体" w:eastAsia="新宋体"/>
                <w:spacing w:val="-17"/>
                <w:kern w:val="0"/>
                <w:sz w:val="24"/>
                <w:szCs w:val="24"/>
                <w:lang w:eastAsia="zh-CN"/>
              </w:rPr>
              <w:t>响应文件中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工期保证措施的合理性、可行性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分，优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秀的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得10</w:t>
            </w:r>
            <w:r>
              <w:rPr>
                <w:rFonts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分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，良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好的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得8分，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一般的</w:t>
            </w:r>
            <w:r>
              <w:rPr>
                <w:rFonts w:hint="eastAsia" w:ascii="宋体" w:hAnsi="宋体" w:eastAsia="新宋体" w:cs="宋体"/>
                <w:color w:val="000000" w:themeColor="text1"/>
                <w:spacing w:val="-17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得6分，没有不得分。</w:t>
            </w:r>
          </w:p>
        </w:tc>
        <w:tc>
          <w:tcPr>
            <w:tcW w:w="789" w:type="dxa"/>
            <w:tcBorders>
              <w:left w:val="single" w:color="auto" w:sz="4" w:space="0"/>
            </w:tcBorders>
          </w:tcPr>
          <w:p>
            <w:pPr>
              <w:rPr>
                <w:rFonts w:hint="eastAsia" w:hAnsi="宋体" w:eastAsia="新宋体"/>
                <w:spacing w:val="-17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137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spacing w:val="-17"/>
                <w:sz w:val="24"/>
                <w:szCs w:val="24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质保期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承诺（10分）</w:t>
            </w:r>
          </w:p>
        </w:tc>
        <w:tc>
          <w:tcPr>
            <w:tcW w:w="811" w:type="dxa"/>
            <w:tcBorders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textAlignment w:val="auto"/>
              <w:rPr>
                <w:rFonts w:hint="default" w:ascii="宋体" w:hAnsi="宋体" w:eastAsia="新宋体"/>
                <w:spacing w:val="-17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spacing w:val="-17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5741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textAlignment w:val="auto"/>
              <w:rPr>
                <w:rFonts w:hint="default" w:hAnsi="宋体" w:eastAsia="新宋体"/>
                <w:spacing w:val="-17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新宋体"/>
                <w:spacing w:val="-17"/>
                <w:sz w:val="24"/>
                <w:szCs w:val="24"/>
              </w:rPr>
              <w:t>根据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申请人</w:t>
            </w:r>
            <w:r>
              <w:rPr>
                <w:rFonts w:hint="eastAsia" w:hAnsi="宋体" w:eastAsia="新宋体"/>
                <w:spacing w:val="-17"/>
                <w:kern w:val="0"/>
                <w:sz w:val="24"/>
                <w:szCs w:val="24"/>
                <w:lang w:eastAsia="zh-CN"/>
              </w:rPr>
              <w:t>响应文件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中承诺质保期年限评分，承诺质保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2分，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4分，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6分，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年的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得8分，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承诺质保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eastAsia="zh-CN"/>
              </w:rPr>
              <w:t>年的得</w:t>
            </w:r>
            <w:r>
              <w:rPr>
                <w:rFonts w:hint="eastAsia" w:ascii="宋体" w:hAnsi="宋体" w:eastAsia="新宋体"/>
                <w:spacing w:val="-17"/>
                <w:sz w:val="24"/>
                <w:szCs w:val="24"/>
                <w:lang w:val="en-US" w:eastAsia="zh-CN"/>
              </w:rPr>
              <w:t>10分，最高得10分。</w:t>
            </w:r>
          </w:p>
        </w:tc>
        <w:tc>
          <w:tcPr>
            <w:tcW w:w="789" w:type="dxa"/>
            <w:tcBorders>
              <w:left w:val="single" w:color="auto" w:sz="4" w:space="0"/>
            </w:tcBorders>
            <w:vAlign w:val="center"/>
          </w:tcPr>
          <w:p>
            <w:pPr>
              <w:pStyle w:val="2"/>
              <w:spacing w:line="380" w:lineRule="exact"/>
              <w:rPr>
                <w:rFonts w:hint="eastAsia" w:hAnsi="宋体" w:eastAsia="新宋体"/>
                <w:spacing w:val="-17"/>
                <w:kern w:val="0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altName w:val="Arial Unicode MS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0YzdjMjYxYmFmOTM2MDg0N2U4MTZiNDE5NzhlOTEifQ=="/>
  </w:docVars>
  <w:rsids>
    <w:rsidRoot w:val="4559618B"/>
    <w:rsid w:val="45596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2022-07-20T07:25:00Z</dcterms:created>
  <dc:creator>！</dc:creator>
  <cp:lastModifiedBy>！</cp:lastModifiedBy>
  <dcterms:modified xsi:type="dcterms:W3CDTF">2022-07-20T07:25:41Z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404ACA8BD74345C4BCB47F9274173504</vt:lpwstr>
  </property>
</Properties>
</file>