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B529FE">
      <w:pPr>
        <w:pStyle w:val="2"/>
        <w:bidi w:val="0"/>
        <w:rPr>
          <w:rFonts w:hint="eastAsia"/>
          <w:lang w:val="en-US" w:eastAsia="zh-CN"/>
        </w:rPr>
      </w:pPr>
      <w:bookmarkStart w:id="0" w:name="_GoBack"/>
      <w:bookmarkEnd w:id="0"/>
      <w:r>
        <w:rPr>
          <w:rFonts w:hint="eastAsia"/>
          <w:lang w:val="en-US" w:eastAsia="zh-CN"/>
        </w:rPr>
        <w:t>综合评分明细表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76"/>
        <w:gridCol w:w="1935"/>
        <w:gridCol w:w="1285"/>
        <w:gridCol w:w="2330"/>
        <w:gridCol w:w="915"/>
        <w:gridCol w:w="951"/>
      </w:tblGrid>
      <w:tr w14:paraId="3F00E0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96" w:type="dxa"/>
            <w:gridSpan w:val="3"/>
          </w:tcPr>
          <w:p w14:paraId="558581CE">
            <w:pPr>
              <w:pStyle w:val="5"/>
              <w:jc w:val="center"/>
            </w:pPr>
            <w:r>
              <w:rPr>
                <w:rFonts w:ascii="仿宋_GB2312" w:hAnsi="仿宋_GB2312" w:eastAsia="仿宋_GB2312" w:cs="仿宋_GB2312"/>
              </w:rPr>
              <w:t>评审因素</w:t>
            </w:r>
          </w:p>
        </w:tc>
        <w:tc>
          <w:tcPr>
            <w:tcW w:w="4196" w:type="dxa"/>
            <w:gridSpan w:val="3"/>
          </w:tcPr>
          <w:p w14:paraId="7EB6C53B">
            <w:pPr>
              <w:pStyle w:val="5"/>
              <w:jc w:val="center"/>
            </w:pPr>
            <w:r>
              <w:rPr>
                <w:rFonts w:ascii="仿宋_GB2312" w:hAnsi="仿宋_GB2312" w:eastAsia="仿宋_GB2312" w:cs="仿宋_GB2312"/>
              </w:rPr>
              <w:t>评审标准</w:t>
            </w:r>
          </w:p>
        </w:tc>
      </w:tr>
      <w:tr w14:paraId="0EC72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96" w:type="dxa"/>
            <w:gridSpan w:val="3"/>
          </w:tcPr>
          <w:p w14:paraId="1CA4DE11">
            <w:pPr>
              <w:pStyle w:val="5"/>
              <w:jc w:val="center"/>
            </w:pPr>
            <w:r>
              <w:rPr>
                <w:rFonts w:ascii="仿宋_GB2312" w:hAnsi="仿宋_GB2312" w:eastAsia="仿宋_GB2312" w:cs="仿宋_GB2312"/>
              </w:rPr>
              <w:t>分值构成</w:t>
            </w:r>
          </w:p>
        </w:tc>
        <w:tc>
          <w:tcPr>
            <w:tcW w:w="4196" w:type="dxa"/>
            <w:gridSpan w:val="3"/>
          </w:tcPr>
          <w:p w14:paraId="5E5E711E">
            <w:pPr>
              <w:pStyle w:val="5"/>
              <w:jc w:val="left"/>
            </w:pPr>
            <w:r>
              <w:rPr>
                <w:rFonts w:ascii="仿宋_GB2312" w:hAnsi="仿宋_GB2312" w:eastAsia="仿宋_GB2312" w:cs="仿宋_GB2312"/>
              </w:rPr>
              <w:t>详细评审90.00分</w:t>
            </w:r>
          </w:p>
          <w:p w14:paraId="100B51D1">
            <w:pPr>
              <w:pStyle w:val="5"/>
              <w:jc w:val="left"/>
            </w:pPr>
            <w:r>
              <w:rPr>
                <w:rFonts w:ascii="仿宋_GB2312" w:hAnsi="仿宋_GB2312" w:eastAsia="仿宋_GB2312" w:cs="仿宋_GB2312"/>
              </w:rPr>
              <w:t>报价得分10.00分</w:t>
            </w:r>
          </w:p>
        </w:tc>
      </w:tr>
      <w:tr w14:paraId="7FABE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6" w:type="dxa"/>
          </w:tcPr>
          <w:p w14:paraId="5A406212">
            <w:pPr>
              <w:pStyle w:val="5"/>
              <w:jc w:val="center"/>
            </w:pPr>
            <w:r>
              <w:rPr>
                <w:rFonts w:ascii="仿宋_GB2312" w:hAnsi="仿宋_GB2312" w:eastAsia="仿宋_GB2312" w:cs="仿宋_GB2312"/>
              </w:rPr>
              <w:t>评审因素分类</w:t>
            </w:r>
          </w:p>
        </w:tc>
        <w:tc>
          <w:tcPr>
            <w:tcW w:w="1935" w:type="dxa"/>
          </w:tcPr>
          <w:p w14:paraId="2AC5CCBC">
            <w:pPr>
              <w:pStyle w:val="5"/>
              <w:jc w:val="center"/>
            </w:pPr>
            <w:r>
              <w:rPr>
                <w:rFonts w:ascii="仿宋_GB2312" w:hAnsi="仿宋_GB2312" w:eastAsia="仿宋_GB2312" w:cs="仿宋_GB2312"/>
              </w:rPr>
              <w:t>评审内容</w:t>
            </w:r>
          </w:p>
        </w:tc>
        <w:tc>
          <w:tcPr>
            <w:tcW w:w="3615" w:type="dxa"/>
            <w:gridSpan w:val="2"/>
          </w:tcPr>
          <w:p w14:paraId="21C499B9">
            <w:pPr>
              <w:pStyle w:val="5"/>
              <w:jc w:val="center"/>
            </w:pPr>
            <w:r>
              <w:rPr>
                <w:rFonts w:ascii="仿宋_GB2312" w:hAnsi="仿宋_GB2312" w:eastAsia="仿宋_GB2312" w:cs="仿宋_GB2312"/>
              </w:rPr>
              <w:t>具体标准和要求</w:t>
            </w:r>
          </w:p>
        </w:tc>
        <w:tc>
          <w:tcPr>
            <w:tcW w:w="915" w:type="dxa"/>
          </w:tcPr>
          <w:p w14:paraId="05F376F6">
            <w:pPr>
              <w:pStyle w:val="5"/>
              <w:jc w:val="center"/>
            </w:pPr>
            <w:r>
              <w:rPr>
                <w:rFonts w:ascii="仿宋_GB2312" w:hAnsi="仿宋_GB2312" w:eastAsia="仿宋_GB2312" w:cs="仿宋_GB2312"/>
                <w:b/>
              </w:rPr>
              <w:t>评审分值</w:t>
            </w:r>
          </w:p>
        </w:tc>
        <w:tc>
          <w:tcPr>
            <w:tcW w:w="951" w:type="dxa"/>
          </w:tcPr>
          <w:p w14:paraId="1B5BFA1A">
            <w:pPr>
              <w:pStyle w:val="5"/>
              <w:jc w:val="center"/>
            </w:pPr>
            <w:r>
              <w:rPr>
                <w:rFonts w:ascii="仿宋_GB2312" w:hAnsi="仿宋_GB2312" w:eastAsia="仿宋_GB2312" w:cs="仿宋_GB2312"/>
              </w:rPr>
              <w:t>客观/主观</w:t>
            </w:r>
          </w:p>
        </w:tc>
      </w:tr>
      <w:tr w14:paraId="16B9B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6" w:type="dxa"/>
            <w:vMerge w:val="restart"/>
          </w:tcPr>
          <w:p w14:paraId="35EAFE9F">
            <w:pPr>
              <w:pStyle w:val="5"/>
              <w:jc w:val="left"/>
            </w:pPr>
            <w:r>
              <w:rPr>
                <w:rFonts w:ascii="仿宋_GB2312" w:hAnsi="仿宋_GB2312" w:eastAsia="仿宋_GB2312" w:cs="仿宋_GB2312"/>
              </w:rPr>
              <w:t>详细评审</w:t>
            </w:r>
          </w:p>
        </w:tc>
        <w:tc>
          <w:tcPr>
            <w:tcW w:w="1935" w:type="dxa"/>
            <w:vAlign w:val="center"/>
          </w:tcPr>
          <w:p w14:paraId="719A5A16">
            <w:pPr>
              <w:pStyle w:val="5"/>
              <w:jc w:val="center"/>
            </w:pPr>
            <w:r>
              <w:rPr>
                <w:rFonts w:ascii="仿宋_GB2312" w:hAnsi="仿宋_GB2312" w:eastAsia="仿宋_GB2312" w:cs="仿宋_GB2312"/>
              </w:rPr>
              <w:t>项目实施方案</w:t>
            </w:r>
          </w:p>
        </w:tc>
        <w:tc>
          <w:tcPr>
            <w:tcW w:w="3615" w:type="dxa"/>
            <w:gridSpan w:val="2"/>
          </w:tcPr>
          <w:p w14:paraId="555F96F4">
            <w:pPr>
              <w:pStyle w:val="5"/>
              <w:jc w:val="left"/>
            </w:pPr>
            <w:r>
              <w:rPr>
                <w:rFonts w:ascii="仿宋_GB2312" w:hAnsi="仿宋_GB2312" w:eastAsia="仿宋_GB2312" w:cs="仿宋_GB2312"/>
              </w:rPr>
              <w:t>方案内容包括但不限于：①</w:t>
            </w:r>
            <w:r>
              <w:rPr>
                <w:rFonts w:hint="eastAsia" w:ascii="仿宋_GB2312" w:hAnsi="仿宋_GB2312" w:eastAsia="仿宋_GB2312" w:cs="仿宋_GB2312"/>
                <w:lang w:val="en-US" w:eastAsia="zh-CN"/>
              </w:rPr>
              <w:t>审核</w:t>
            </w:r>
            <w:r>
              <w:rPr>
                <w:rFonts w:ascii="仿宋_GB2312" w:hAnsi="仿宋_GB2312" w:eastAsia="仿宋_GB2312" w:cs="仿宋_GB2312"/>
              </w:rPr>
              <w:t>工作目标②</w:t>
            </w:r>
            <w:r>
              <w:rPr>
                <w:rFonts w:hint="eastAsia" w:ascii="仿宋_GB2312" w:hAnsi="仿宋_GB2312" w:eastAsia="仿宋_GB2312" w:cs="仿宋_GB2312"/>
                <w:lang w:val="en-US" w:eastAsia="zh-CN"/>
              </w:rPr>
              <w:t>审核</w:t>
            </w:r>
            <w:r>
              <w:rPr>
                <w:rFonts w:ascii="仿宋_GB2312" w:hAnsi="仿宋_GB2312" w:eastAsia="仿宋_GB2312" w:cs="仿宋_GB2312"/>
              </w:rPr>
              <w:t>内容及重点难点；③针对本项目的</w:t>
            </w:r>
            <w:r>
              <w:rPr>
                <w:rFonts w:hint="eastAsia" w:ascii="仿宋_GB2312" w:hAnsi="仿宋_GB2312" w:eastAsia="仿宋_GB2312" w:cs="仿宋_GB2312"/>
                <w:lang w:val="en-US" w:eastAsia="zh-CN"/>
              </w:rPr>
              <w:t>审核工作</w:t>
            </w:r>
            <w:r>
              <w:rPr>
                <w:rFonts w:ascii="仿宋_GB2312" w:hAnsi="仿宋_GB2312" w:eastAsia="仿宋_GB2312" w:cs="仿宋_GB2312"/>
              </w:rPr>
              <w:t>准备；④</w:t>
            </w:r>
            <w:r>
              <w:rPr>
                <w:rFonts w:hint="eastAsia" w:ascii="仿宋_GB2312" w:hAnsi="仿宋_GB2312" w:eastAsia="仿宋_GB2312" w:cs="仿宋_GB2312"/>
                <w:lang w:val="en-US" w:eastAsia="zh-CN"/>
              </w:rPr>
              <w:t>审核</w:t>
            </w:r>
            <w:r>
              <w:rPr>
                <w:rFonts w:ascii="仿宋_GB2312" w:hAnsi="仿宋_GB2312" w:eastAsia="仿宋_GB2312" w:cs="仿宋_GB2312"/>
              </w:rPr>
              <w:t>时间安排及工作步骤；⑤拟投入</w:t>
            </w:r>
            <w:r>
              <w:rPr>
                <w:rFonts w:hint="eastAsia" w:ascii="仿宋_GB2312" w:hAnsi="仿宋_GB2312" w:eastAsia="仿宋_GB2312" w:cs="仿宋_GB2312"/>
                <w:lang w:val="en-US" w:eastAsia="zh-CN"/>
              </w:rPr>
              <w:t>审核</w:t>
            </w:r>
            <w:r>
              <w:rPr>
                <w:rFonts w:ascii="仿宋_GB2312" w:hAnsi="仿宋_GB2312" w:eastAsia="仿宋_GB2312" w:cs="仿宋_GB2312"/>
              </w:rPr>
              <w:t>人员的安排；⑥</w:t>
            </w:r>
            <w:r>
              <w:rPr>
                <w:rFonts w:hint="eastAsia" w:ascii="仿宋_GB2312" w:hAnsi="仿宋_GB2312" w:eastAsia="仿宋_GB2312" w:cs="仿宋_GB2312"/>
                <w:lang w:val="en-US" w:eastAsia="zh-CN"/>
              </w:rPr>
              <w:t>审核</w:t>
            </w:r>
            <w:r>
              <w:rPr>
                <w:rFonts w:ascii="仿宋_GB2312" w:hAnsi="仿宋_GB2312" w:eastAsia="仿宋_GB2312" w:cs="仿宋_GB2312"/>
              </w:rPr>
              <w:t>质量控制措施；⑦</w:t>
            </w:r>
            <w:r>
              <w:rPr>
                <w:rFonts w:hint="eastAsia" w:ascii="仿宋_GB2312" w:hAnsi="仿宋_GB2312" w:eastAsia="仿宋_GB2312" w:cs="仿宋_GB2312"/>
                <w:lang w:val="en-US" w:eastAsia="zh-CN"/>
              </w:rPr>
              <w:t>审核</w:t>
            </w:r>
            <w:r>
              <w:rPr>
                <w:rFonts w:ascii="仿宋_GB2312" w:hAnsi="仿宋_GB2312" w:eastAsia="仿宋_GB2312" w:cs="仿宋_GB2312"/>
              </w:rPr>
              <w:t>进度控制措施；⑧廉政风险防控措施；⑨服务承诺及后续服务措施。本项目以上共9项内容：内容齐全且符合要求的得</w:t>
            </w:r>
            <w:r>
              <w:rPr>
                <w:rFonts w:hint="eastAsia" w:ascii="仿宋_GB2312" w:hAnsi="仿宋_GB2312" w:eastAsia="仿宋_GB2312" w:cs="仿宋_GB2312"/>
                <w:lang w:val="en-US" w:eastAsia="zh-CN"/>
              </w:rPr>
              <w:t>54</w:t>
            </w:r>
            <w:r>
              <w:rPr>
                <w:rFonts w:ascii="仿宋_GB2312" w:hAnsi="仿宋_GB2312" w:eastAsia="仿宋_GB2312" w:cs="仿宋_GB2312"/>
              </w:rPr>
              <w:t>分；每有1项</w:t>
            </w:r>
            <w:r>
              <w:rPr>
                <w:rFonts w:hint="eastAsia" w:ascii="仿宋_GB2312" w:hAnsi="仿宋_GB2312" w:eastAsia="仿宋_GB2312" w:cs="仿宋_GB2312"/>
                <w:lang w:val="en-US" w:eastAsia="zh-CN"/>
              </w:rPr>
              <w:t>内容</w:t>
            </w:r>
            <w:r>
              <w:rPr>
                <w:rFonts w:ascii="仿宋_GB2312" w:hAnsi="仿宋_GB2312" w:eastAsia="仿宋_GB2312" w:cs="仿宋_GB2312"/>
              </w:rPr>
              <w:t>缺少扣</w:t>
            </w:r>
            <w:r>
              <w:rPr>
                <w:rFonts w:hint="eastAsia" w:ascii="仿宋_GB2312" w:hAnsi="仿宋_GB2312" w:eastAsia="仿宋_GB2312" w:cs="仿宋_GB2312"/>
                <w:lang w:val="en-US" w:eastAsia="zh-CN"/>
              </w:rPr>
              <w:t>6</w:t>
            </w:r>
            <w:r>
              <w:rPr>
                <w:rFonts w:ascii="仿宋_GB2312" w:hAnsi="仿宋_GB2312" w:eastAsia="仿宋_GB2312" w:cs="仿宋_GB2312"/>
              </w:rPr>
              <w:t>分；每项</w:t>
            </w:r>
            <w:r>
              <w:rPr>
                <w:rFonts w:hint="eastAsia" w:ascii="仿宋_GB2312" w:hAnsi="仿宋_GB2312" w:eastAsia="仿宋_GB2312" w:cs="仿宋_GB2312"/>
                <w:lang w:val="en-US" w:eastAsia="zh-CN"/>
              </w:rPr>
              <w:t>中</w:t>
            </w:r>
            <w:r>
              <w:rPr>
                <w:rFonts w:ascii="仿宋_GB2312" w:hAnsi="仿宋_GB2312" w:eastAsia="仿宋_GB2312" w:cs="仿宋_GB2312"/>
              </w:rPr>
              <w:t>每有1处存在缺陷扣</w:t>
            </w:r>
            <w:r>
              <w:rPr>
                <w:rFonts w:hint="eastAsia" w:ascii="仿宋_GB2312" w:hAnsi="仿宋_GB2312" w:eastAsia="仿宋_GB2312" w:cs="仿宋_GB2312"/>
                <w:lang w:val="en-US" w:eastAsia="zh-CN"/>
              </w:rPr>
              <w:t>2</w:t>
            </w:r>
            <w:r>
              <w:rPr>
                <w:rFonts w:ascii="仿宋_GB2312" w:hAnsi="仿宋_GB2312" w:eastAsia="仿宋_GB2312" w:cs="仿宋_GB2312"/>
              </w:rPr>
              <w:t>分,直至该项扣完为止。 注：缺陷是指内容缺少关键节点、套用其他项目方案、内容前后矛盾、不能直接用于项目实施、不可能实现的情形及涉及的规范标准与本项目要求不一致的情况等任意一种情形。</w:t>
            </w:r>
          </w:p>
        </w:tc>
        <w:tc>
          <w:tcPr>
            <w:tcW w:w="915" w:type="dxa"/>
            <w:vAlign w:val="center"/>
          </w:tcPr>
          <w:p w14:paraId="6651BDCC">
            <w:pPr>
              <w:pStyle w:val="5"/>
              <w:jc w:val="center"/>
            </w:pPr>
            <w:r>
              <w:rPr>
                <w:rFonts w:hint="eastAsia" w:ascii="仿宋_GB2312" w:hAnsi="仿宋_GB2312" w:eastAsia="仿宋_GB2312" w:cs="仿宋_GB2312"/>
                <w:lang w:val="en-US" w:eastAsia="zh-CN"/>
              </w:rPr>
              <w:t>54</w:t>
            </w:r>
            <w:r>
              <w:rPr>
                <w:rFonts w:ascii="仿宋_GB2312" w:hAnsi="仿宋_GB2312" w:eastAsia="仿宋_GB2312" w:cs="仿宋_GB2312"/>
              </w:rPr>
              <w:t>.00</w:t>
            </w:r>
          </w:p>
        </w:tc>
        <w:tc>
          <w:tcPr>
            <w:tcW w:w="951" w:type="dxa"/>
            <w:vAlign w:val="center"/>
          </w:tcPr>
          <w:p w14:paraId="681C8DA3">
            <w:pPr>
              <w:pStyle w:val="5"/>
              <w:jc w:val="center"/>
            </w:pPr>
            <w:r>
              <w:rPr>
                <w:rFonts w:ascii="仿宋_GB2312" w:hAnsi="仿宋_GB2312" w:eastAsia="仿宋_GB2312" w:cs="仿宋_GB2312"/>
              </w:rPr>
              <w:t>主观</w:t>
            </w:r>
          </w:p>
        </w:tc>
      </w:tr>
      <w:tr w14:paraId="7595A8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6" w:type="dxa"/>
            <w:vMerge w:val="continue"/>
          </w:tcPr>
          <w:p w14:paraId="0B4860E7"/>
        </w:tc>
        <w:tc>
          <w:tcPr>
            <w:tcW w:w="1935" w:type="dxa"/>
            <w:vAlign w:val="center"/>
          </w:tcPr>
          <w:p w14:paraId="6E0D9E90">
            <w:pPr>
              <w:pStyle w:val="5"/>
              <w:jc w:val="center"/>
            </w:pPr>
            <w:r>
              <w:rPr>
                <w:rFonts w:ascii="仿宋_GB2312" w:hAnsi="仿宋_GB2312" w:eastAsia="仿宋_GB2312" w:cs="仿宋_GB2312"/>
              </w:rPr>
              <w:t>拟投入本项目的实施人员配置</w:t>
            </w:r>
          </w:p>
        </w:tc>
        <w:tc>
          <w:tcPr>
            <w:tcW w:w="3615" w:type="dxa"/>
            <w:gridSpan w:val="2"/>
          </w:tcPr>
          <w:p w14:paraId="37E6EF36">
            <w:pPr>
              <w:pStyle w:val="5"/>
              <w:jc w:val="left"/>
              <w:rPr>
                <w:rFonts w:ascii="仿宋_GB2312" w:hAnsi="仿宋_GB2312" w:eastAsia="仿宋_GB2312" w:cs="仿宋_GB2312"/>
              </w:rPr>
            </w:pPr>
            <w:r>
              <w:rPr>
                <w:rFonts w:hint="eastAsia" w:ascii="仿宋_GB2312" w:hAnsi="仿宋_GB2312" w:eastAsia="仿宋_GB2312" w:cs="仿宋_GB2312"/>
                <w:lang w:val="en-US" w:eastAsia="zh-CN"/>
              </w:rPr>
              <w:t>1、</w:t>
            </w:r>
            <w:r>
              <w:rPr>
                <w:rFonts w:ascii="仿宋_GB2312" w:hAnsi="仿宋_GB2312" w:eastAsia="仿宋_GB2312" w:cs="仿宋_GB2312"/>
              </w:rPr>
              <w:t>项目负责人1人：具有一级造价工程师注册证书(土建专业）得</w:t>
            </w:r>
            <w:r>
              <w:rPr>
                <w:rFonts w:hint="eastAsia" w:ascii="仿宋_GB2312" w:hAnsi="仿宋_GB2312" w:eastAsia="仿宋_GB2312" w:cs="仿宋_GB2312"/>
                <w:lang w:val="en-US" w:eastAsia="zh-CN"/>
              </w:rPr>
              <w:t>7</w:t>
            </w:r>
            <w:r>
              <w:rPr>
                <w:rFonts w:ascii="仿宋_GB2312" w:hAnsi="仿宋_GB2312" w:eastAsia="仿宋_GB2312" w:cs="仿宋_GB2312"/>
              </w:rPr>
              <w:t>分，本项最多得</w:t>
            </w:r>
            <w:r>
              <w:rPr>
                <w:rFonts w:hint="eastAsia" w:ascii="仿宋_GB2312" w:hAnsi="仿宋_GB2312" w:eastAsia="仿宋_GB2312" w:cs="仿宋_GB2312"/>
                <w:lang w:val="en-US" w:eastAsia="zh-CN"/>
              </w:rPr>
              <w:t>7</w:t>
            </w:r>
            <w:r>
              <w:rPr>
                <w:rFonts w:ascii="仿宋_GB2312" w:hAnsi="仿宋_GB2312" w:eastAsia="仿宋_GB2312" w:cs="仿宋_GB2312"/>
              </w:rPr>
              <w:t>分。</w:t>
            </w:r>
          </w:p>
          <w:p w14:paraId="317F0DAE">
            <w:pPr>
              <w:pStyle w:val="5"/>
              <w:jc w:val="left"/>
              <w:rPr>
                <w:rFonts w:ascii="仿宋_GB2312" w:hAnsi="仿宋_GB2312" w:eastAsia="仿宋_GB2312" w:cs="仿宋_GB2312"/>
              </w:rPr>
            </w:pPr>
            <w:r>
              <w:rPr>
                <w:rFonts w:ascii="仿宋_GB2312" w:hAnsi="仿宋_GB2312" w:eastAsia="仿宋_GB2312" w:cs="仿宋_GB2312"/>
              </w:rPr>
              <w:t>2、技术负责人1人：具有二级及以上造价工程师注册证书(土建专业）得</w:t>
            </w:r>
            <w:r>
              <w:rPr>
                <w:rFonts w:hint="eastAsia" w:ascii="仿宋_GB2312" w:hAnsi="仿宋_GB2312" w:eastAsia="仿宋_GB2312" w:cs="仿宋_GB2312"/>
                <w:lang w:val="en-US" w:eastAsia="zh-CN"/>
              </w:rPr>
              <w:t>7</w:t>
            </w:r>
            <w:r>
              <w:rPr>
                <w:rFonts w:ascii="仿宋_GB2312" w:hAnsi="仿宋_GB2312" w:eastAsia="仿宋_GB2312" w:cs="仿宋_GB2312"/>
              </w:rPr>
              <w:t>分，本项最多得</w:t>
            </w:r>
            <w:r>
              <w:rPr>
                <w:rFonts w:hint="eastAsia" w:ascii="仿宋_GB2312" w:hAnsi="仿宋_GB2312" w:eastAsia="仿宋_GB2312" w:cs="仿宋_GB2312"/>
                <w:lang w:val="en-US" w:eastAsia="zh-CN"/>
              </w:rPr>
              <w:t>7</w:t>
            </w:r>
            <w:r>
              <w:rPr>
                <w:rFonts w:ascii="仿宋_GB2312" w:hAnsi="仿宋_GB2312" w:eastAsia="仿宋_GB2312" w:cs="仿宋_GB2312"/>
              </w:rPr>
              <w:t>分。</w:t>
            </w:r>
          </w:p>
          <w:p w14:paraId="320467D9">
            <w:pPr>
              <w:pStyle w:val="5"/>
              <w:jc w:val="left"/>
              <w:rPr>
                <w:rFonts w:ascii="仿宋_GB2312" w:hAnsi="仿宋_GB2312" w:eastAsia="仿宋_GB2312" w:cs="仿宋_GB2312"/>
              </w:rPr>
            </w:pPr>
            <w:r>
              <w:rPr>
                <w:rFonts w:hint="eastAsia" w:ascii="仿宋_GB2312" w:hAnsi="仿宋_GB2312" w:eastAsia="仿宋_GB2312" w:cs="仿宋_GB2312"/>
                <w:lang w:val="en-US" w:eastAsia="zh-CN"/>
              </w:rPr>
              <w:t>3</w:t>
            </w:r>
            <w:r>
              <w:rPr>
                <w:rFonts w:ascii="仿宋_GB2312" w:hAnsi="仿宋_GB2312" w:eastAsia="仿宋_GB2312" w:cs="仿宋_GB2312"/>
              </w:rPr>
              <w:t>、安装负责人1人：具有二级及以上造价工程师注册证书（安装专业）得</w:t>
            </w:r>
            <w:r>
              <w:rPr>
                <w:rFonts w:hint="eastAsia" w:ascii="仿宋_GB2312" w:hAnsi="仿宋_GB2312" w:eastAsia="仿宋_GB2312" w:cs="仿宋_GB2312"/>
                <w:lang w:val="en-US" w:eastAsia="zh-CN"/>
              </w:rPr>
              <w:t>7</w:t>
            </w:r>
            <w:r>
              <w:rPr>
                <w:rFonts w:ascii="仿宋_GB2312" w:hAnsi="仿宋_GB2312" w:eastAsia="仿宋_GB2312" w:cs="仿宋_GB2312"/>
              </w:rPr>
              <w:t>分，本项最多得</w:t>
            </w:r>
            <w:r>
              <w:rPr>
                <w:rFonts w:hint="eastAsia" w:ascii="仿宋_GB2312" w:hAnsi="仿宋_GB2312" w:eastAsia="仿宋_GB2312" w:cs="仿宋_GB2312"/>
                <w:lang w:val="en-US" w:eastAsia="zh-CN"/>
              </w:rPr>
              <w:t>7</w:t>
            </w:r>
            <w:r>
              <w:rPr>
                <w:rFonts w:ascii="仿宋_GB2312" w:hAnsi="仿宋_GB2312" w:eastAsia="仿宋_GB2312" w:cs="仿宋_GB2312"/>
              </w:rPr>
              <w:t>分。</w:t>
            </w:r>
          </w:p>
          <w:p w14:paraId="7F48E7EA">
            <w:pPr>
              <w:pStyle w:val="5"/>
              <w:jc w:val="left"/>
            </w:pPr>
            <w:r>
              <w:rPr>
                <w:rFonts w:ascii="仿宋_GB2312" w:hAnsi="仿宋_GB2312" w:eastAsia="仿宋_GB2312" w:cs="仿宋_GB2312"/>
              </w:rPr>
              <w:t>注：1.上述人员不重复计分。2.以上人员须提供身份证及相关证书复印件或扫描件，注册类证书需提供全国建筑市场监管公告服务平台网页查询截图。</w:t>
            </w:r>
          </w:p>
        </w:tc>
        <w:tc>
          <w:tcPr>
            <w:tcW w:w="915" w:type="dxa"/>
            <w:vAlign w:val="center"/>
          </w:tcPr>
          <w:p w14:paraId="0E3FD846">
            <w:pPr>
              <w:pStyle w:val="5"/>
              <w:jc w:val="center"/>
            </w:pPr>
            <w:r>
              <w:rPr>
                <w:rFonts w:hint="eastAsia" w:ascii="仿宋_GB2312" w:hAnsi="仿宋_GB2312" w:eastAsia="仿宋_GB2312" w:cs="仿宋_GB2312"/>
                <w:lang w:val="en-US" w:eastAsia="zh-CN"/>
              </w:rPr>
              <w:t>21</w:t>
            </w:r>
            <w:r>
              <w:rPr>
                <w:rFonts w:ascii="仿宋_GB2312" w:hAnsi="仿宋_GB2312" w:eastAsia="仿宋_GB2312" w:cs="仿宋_GB2312"/>
              </w:rPr>
              <w:t>.0000</w:t>
            </w:r>
          </w:p>
        </w:tc>
        <w:tc>
          <w:tcPr>
            <w:tcW w:w="951" w:type="dxa"/>
            <w:vAlign w:val="center"/>
          </w:tcPr>
          <w:p w14:paraId="18D00415">
            <w:pPr>
              <w:pStyle w:val="5"/>
              <w:jc w:val="center"/>
            </w:pPr>
            <w:r>
              <w:rPr>
                <w:rFonts w:ascii="仿宋_GB2312" w:hAnsi="仿宋_GB2312" w:eastAsia="仿宋_GB2312" w:cs="仿宋_GB2312"/>
              </w:rPr>
              <w:t>客观</w:t>
            </w:r>
          </w:p>
        </w:tc>
      </w:tr>
      <w:tr w14:paraId="62C63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6" w:type="dxa"/>
            <w:vMerge w:val="continue"/>
          </w:tcPr>
          <w:p w14:paraId="570E6885"/>
        </w:tc>
        <w:tc>
          <w:tcPr>
            <w:tcW w:w="1935" w:type="dxa"/>
            <w:vAlign w:val="center"/>
          </w:tcPr>
          <w:p w14:paraId="261B8244">
            <w:pPr>
              <w:pStyle w:val="5"/>
              <w:jc w:val="center"/>
            </w:pPr>
            <w:r>
              <w:rPr>
                <w:rFonts w:ascii="仿宋_GB2312" w:hAnsi="仿宋_GB2312" w:eastAsia="仿宋_GB2312" w:cs="仿宋_GB2312"/>
              </w:rPr>
              <w:t>业绩</w:t>
            </w:r>
          </w:p>
        </w:tc>
        <w:tc>
          <w:tcPr>
            <w:tcW w:w="3615" w:type="dxa"/>
            <w:gridSpan w:val="2"/>
            <w:vAlign w:val="center"/>
          </w:tcPr>
          <w:p w14:paraId="1977B998">
            <w:pPr>
              <w:pStyle w:val="5"/>
              <w:jc w:val="center"/>
            </w:pPr>
            <w:r>
              <w:rPr>
                <w:rFonts w:ascii="仿宋_GB2312" w:hAnsi="仿宋_GB2312" w:eastAsia="仿宋_GB2312" w:cs="仿宋_GB2312"/>
              </w:rPr>
              <w:t>投标供应商202</w:t>
            </w:r>
            <w:r>
              <w:rPr>
                <w:rFonts w:hint="eastAsia" w:ascii="仿宋_GB2312" w:hAnsi="仿宋_GB2312" w:eastAsia="仿宋_GB2312" w:cs="仿宋_GB2312"/>
                <w:lang w:val="en-US" w:eastAsia="zh-CN"/>
              </w:rPr>
              <w:t>3</w:t>
            </w:r>
            <w:r>
              <w:rPr>
                <w:rFonts w:ascii="仿宋_GB2312" w:hAnsi="仿宋_GB2312" w:eastAsia="仿宋_GB2312" w:cs="仿宋_GB2312"/>
              </w:rPr>
              <w:t>年1月1日（含）以来每具有1个类似项目业绩得</w:t>
            </w:r>
            <w:r>
              <w:rPr>
                <w:rFonts w:hint="eastAsia" w:ascii="仿宋_GB2312" w:hAnsi="仿宋_GB2312" w:eastAsia="仿宋_GB2312" w:cs="仿宋_GB2312"/>
                <w:lang w:val="en-US" w:eastAsia="zh-CN"/>
              </w:rPr>
              <w:t>5</w:t>
            </w:r>
            <w:r>
              <w:rPr>
                <w:rFonts w:ascii="仿宋_GB2312" w:hAnsi="仿宋_GB2312" w:eastAsia="仿宋_GB2312" w:cs="仿宋_GB2312"/>
              </w:rPr>
              <w:t>分，本项最多得1</w:t>
            </w:r>
            <w:r>
              <w:rPr>
                <w:rFonts w:hint="eastAsia" w:ascii="仿宋_GB2312" w:hAnsi="仿宋_GB2312" w:eastAsia="仿宋_GB2312" w:cs="仿宋_GB2312"/>
                <w:lang w:val="en-US" w:eastAsia="zh-CN"/>
              </w:rPr>
              <w:t>5</w:t>
            </w:r>
            <w:r>
              <w:rPr>
                <w:rFonts w:ascii="仿宋_GB2312" w:hAnsi="仿宋_GB2312" w:eastAsia="仿宋_GB2312" w:cs="仿宋_GB2312"/>
              </w:rPr>
              <w:t>分。企业新成立不足一年且无业绩的得</w:t>
            </w:r>
            <w:r>
              <w:rPr>
                <w:rFonts w:hint="eastAsia" w:ascii="仿宋_GB2312" w:hAnsi="仿宋_GB2312" w:eastAsia="仿宋_GB2312" w:cs="仿宋_GB2312"/>
                <w:lang w:val="en-US" w:eastAsia="zh-CN"/>
              </w:rPr>
              <w:t>5</w:t>
            </w:r>
            <w:r>
              <w:rPr>
                <w:rFonts w:ascii="仿宋_GB2312" w:hAnsi="仿宋_GB2312" w:eastAsia="仿宋_GB2312" w:cs="仿宋_GB2312"/>
              </w:rPr>
              <w:t>分。 注：1、提供审计（审核）服务合同、审计（审核）报告；2、类似项目业绩是指：项目结（决）算审计（审核）服务类。3、业绩认定时间：以提交的审计（审核）报告为准。</w:t>
            </w:r>
          </w:p>
        </w:tc>
        <w:tc>
          <w:tcPr>
            <w:tcW w:w="915" w:type="dxa"/>
            <w:vAlign w:val="center"/>
          </w:tcPr>
          <w:p w14:paraId="3BFF4973">
            <w:pPr>
              <w:pStyle w:val="5"/>
              <w:jc w:val="center"/>
            </w:pPr>
            <w:r>
              <w:rPr>
                <w:rFonts w:ascii="仿宋_GB2312" w:hAnsi="仿宋_GB2312" w:eastAsia="仿宋_GB2312" w:cs="仿宋_GB2312"/>
              </w:rPr>
              <w:t>1</w:t>
            </w:r>
            <w:r>
              <w:rPr>
                <w:rFonts w:hint="eastAsia" w:ascii="仿宋_GB2312" w:hAnsi="仿宋_GB2312" w:eastAsia="仿宋_GB2312" w:cs="仿宋_GB2312"/>
                <w:lang w:val="en-US" w:eastAsia="zh-CN"/>
              </w:rPr>
              <w:t>5.</w:t>
            </w:r>
            <w:r>
              <w:rPr>
                <w:rFonts w:ascii="仿宋_GB2312" w:hAnsi="仿宋_GB2312" w:eastAsia="仿宋_GB2312" w:cs="仿宋_GB2312"/>
              </w:rPr>
              <w:t>00</w:t>
            </w:r>
          </w:p>
        </w:tc>
        <w:tc>
          <w:tcPr>
            <w:tcW w:w="951" w:type="dxa"/>
            <w:vAlign w:val="center"/>
          </w:tcPr>
          <w:p w14:paraId="6A3CBA66">
            <w:pPr>
              <w:pStyle w:val="5"/>
              <w:jc w:val="center"/>
            </w:pPr>
            <w:r>
              <w:rPr>
                <w:rFonts w:ascii="仿宋_GB2312" w:hAnsi="仿宋_GB2312" w:eastAsia="仿宋_GB2312" w:cs="仿宋_GB2312"/>
              </w:rPr>
              <w:t>客观</w:t>
            </w:r>
          </w:p>
        </w:tc>
      </w:tr>
      <w:tr w14:paraId="4DB673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76" w:type="dxa"/>
            <w:vAlign w:val="center"/>
          </w:tcPr>
          <w:p w14:paraId="2FEB98EE">
            <w:pPr>
              <w:pStyle w:val="5"/>
              <w:jc w:val="center"/>
            </w:pPr>
            <w:r>
              <w:rPr>
                <w:rFonts w:ascii="仿宋_GB2312" w:hAnsi="仿宋_GB2312" w:eastAsia="仿宋_GB2312" w:cs="仿宋_GB2312"/>
              </w:rPr>
              <w:t>价格分</w:t>
            </w:r>
          </w:p>
        </w:tc>
        <w:tc>
          <w:tcPr>
            <w:tcW w:w="1935" w:type="dxa"/>
            <w:vAlign w:val="center"/>
          </w:tcPr>
          <w:p w14:paraId="6E3A05B5">
            <w:pPr>
              <w:pStyle w:val="5"/>
              <w:jc w:val="center"/>
            </w:pPr>
            <w:r>
              <w:rPr>
                <w:rFonts w:ascii="仿宋_GB2312" w:hAnsi="仿宋_GB2312" w:eastAsia="仿宋_GB2312" w:cs="仿宋_GB2312"/>
              </w:rPr>
              <w:t>报价</w:t>
            </w:r>
          </w:p>
        </w:tc>
        <w:tc>
          <w:tcPr>
            <w:tcW w:w="3615" w:type="dxa"/>
            <w:gridSpan w:val="2"/>
          </w:tcPr>
          <w:p w14:paraId="4CC18C88">
            <w:pPr>
              <w:pStyle w:val="5"/>
              <w:jc w:val="left"/>
            </w:pPr>
            <w:r>
              <w:rPr>
                <w:rFonts w:ascii="仿宋_GB2312" w:hAnsi="仿宋_GB2312" w:eastAsia="仿宋_GB2312" w:cs="仿宋_GB2312"/>
              </w:rPr>
              <w:t>1.经评审，通过</w:t>
            </w:r>
            <w:r>
              <w:rPr>
                <w:rFonts w:hint="eastAsia" w:ascii="仿宋_GB2312" w:hAnsi="仿宋_GB2312" w:eastAsia="仿宋_GB2312" w:cs="仿宋_GB2312"/>
                <w:lang w:val="en-US" w:eastAsia="zh-CN"/>
              </w:rPr>
              <w:t>响应文件</w:t>
            </w:r>
            <w:r>
              <w:rPr>
                <w:rFonts w:ascii="仿宋_GB2312" w:hAnsi="仿宋_GB2312" w:eastAsia="仿宋_GB2312" w:cs="仿宋_GB2312"/>
              </w:rPr>
              <w:t>审查，且投标报价最低的投标人的投标报价作为评标基准价。2.投标报价得分=(评标基准价／投标报价)×分值。</w:t>
            </w:r>
          </w:p>
        </w:tc>
        <w:tc>
          <w:tcPr>
            <w:tcW w:w="915" w:type="dxa"/>
            <w:vAlign w:val="center"/>
          </w:tcPr>
          <w:p w14:paraId="11332232">
            <w:pPr>
              <w:pStyle w:val="5"/>
              <w:jc w:val="center"/>
            </w:pPr>
            <w:r>
              <w:rPr>
                <w:rFonts w:ascii="仿宋_GB2312" w:hAnsi="仿宋_GB2312" w:eastAsia="仿宋_GB2312" w:cs="仿宋_GB2312"/>
              </w:rPr>
              <w:t>10.00</w:t>
            </w:r>
          </w:p>
        </w:tc>
        <w:tc>
          <w:tcPr>
            <w:tcW w:w="951" w:type="dxa"/>
            <w:vAlign w:val="center"/>
          </w:tcPr>
          <w:p w14:paraId="6D5F669A">
            <w:pPr>
              <w:pStyle w:val="5"/>
              <w:jc w:val="center"/>
            </w:pPr>
            <w:r>
              <w:rPr>
                <w:rFonts w:ascii="仿宋_GB2312" w:hAnsi="仿宋_GB2312" w:eastAsia="仿宋_GB2312" w:cs="仿宋_GB2312"/>
              </w:rPr>
              <w:t>客观</w:t>
            </w:r>
          </w:p>
        </w:tc>
      </w:tr>
    </w:tbl>
    <w:p w14:paraId="257EAAE1">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1YzNlMWE0ZDRkMTE4NzA0YTE5OWVkMjdhMTQ3ZjgifQ=="/>
  </w:docVars>
  <w:rsids>
    <w:rsidRoot w:val="26E15B8B"/>
    <w:rsid w:val="26E15B8B"/>
    <w:rsid w:val="49215CFA"/>
    <w:rsid w:val="5FC80025"/>
    <w:rsid w:val="761155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737</Words>
  <Characters>773</Characters>
  <Lines>0</Lines>
  <Paragraphs>0</Paragraphs>
  <TotalTime>0</TotalTime>
  <ScaleCrop>false</ScaleCrop>
  <LinksUpToDate>false</LinksUpToDate>
  <CharactersWithSpaces>775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2026-10-16T02:17:00Z</dcterms:created>
  <dc:creator>春春</dc:creator>
  <cp:lastModifiedBy>三生有幸</cp:lastModifiedBy>
  <dcterms:modified xsi:type="dcterms:W3CDTF">2026-10-16T08:42:43Z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0C8732B97AB74C109A541741423F4062_13</vt:lpwstr>
  </property>
  <property fmtid="{D5CDD505-2E9C-101B-9397-08002B2CF9AE}" pid="4" name="KSOTemplateDocerSaveRecord">
    <vt:lpwstr>eyJoZGlkIjoiMjM2N2EyMWUzNmM3NTZjNjY5N2E5ZGM4MWJiMTZhMGIiLCJ1c2VySWQiOiI0Mjg2Njc2NTcifQ==</vt:lpwstr>
  </property>
</Properties>
</file>